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Keskeiset käsitteet</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 kirjallisuudessa</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avoimet haasteet haastatteluissa</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 ja jatkotutkimusaiheet</w:t>
      </w:r>
    </w:p>
    <w:p>
      <w:pPr>
        <w:pStyle w:val="Compact"/>
        <w:numPr>
          <w:numId w:val="1020"/>
          <w:ilvl w:val="1"/>
        </w:numPr>
      </w:pPr>
      <w:r>
        <w:t xml:space="preserve">Oppiminen</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Kasvintuotannon ja maatalouden IoT-sovelluksia ei tunneta laajalti maatalousalan ulkopuolella, mutta niillä tulee todennäköisesti olemaan keskeinen asema sekä globaalin ruokatuotannon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käytettäviin IoT:in teknologiasovelluksista ja niiden tutkimuksesta. Tällä opinnäytetyöllä ei ole toimeksiantajaa. Opinnäytetyössä on toteutettu narratiivinen kirjallisuuskatsaus ja viisi asiantuntijoiden teemahaastattelua. Kirjallisuuskatsauksessa on keskitytty pääasiassa sateenvarjokatsauksen omaisesti aiheesta tehtyihin kirjallisuuskatsauksiin. Teemahaastatteluista saatu aineisto on analysoitu sisällönanalyysin keinoin, joilla on pyritty tukemaan aineiston laadullista kuvailua ja havainnointia.</w:t>
      </w:r>
    </w:p>
    <w:p>
      <w:pPr>
        <w:pStyle w:val="BodyText"/>
      </w:pPr>
      <w:r>
        <w:t xml:space="preserve">Tuloksena saadun yleiskuvan mukaan lähivuosina voidaan odottaa IoT-teknologioiden paikoittain voimakastakin yleistymistä kasvintuotannon käytössä. Suuren mittakaavan käyttöönottojen kautta näillä teknologioilla on selkeä potentiaali tuottaa huomattavia etuja tehokkaan ja kestävän maanviljelyn muodossa, varmistamalla ruokaturvaa pienempien ympäristövaikutusten kautta sekä takaamalla terveellinen ja turvallinen ruoantuotanto. Etujen saavuttamiseksi IoT-teknologioiden avulla voidaan tehostaa tuotantoa, välttää satotappioita, parantaa viljelysuunnittelua ja tukea viljelijän päätöksentekoa. Lisäksi niiden avulla voidaan mahdollistaa uusia liiketoimintamalleja ja muuttaa viljelijän työnkuvaa. IoT-ratkaisut tulevat olemaan avainasemassa tulevaisuuden maataloustuotannossa, jossa ne mahdollistavat siirtymisen mitatun digitaalisen tiedon perusteella toimivaan tuotantoon. Näiden uusien teknologioiden laajan omaksumisen edessä on kuitenkin huomattavia haasteita.</w:t>
      </w:r>
    </w:p>
    <w:p>
      <w:pPr>
        <w:pStyle w:val="BodyText"/>
      </w:pPr>
      <w:r>
        <w:t xml:space="preserve">Opinnäytetyötä voidaan hyödyntää tietolähteenä ja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Usein emme ole kovin tietoisia ruokamme alkuperästä ja vielä vähemmän sen tuotantotavoista. Sitäkin vähemmän tiedämme teknologioista, joita ruokamme tuottamiseen on käytetty. Mitä jos maatalouden teknologiakehitys ja tuotanto pysähtyisivät nykyiselle tasolle? Entä miten maatalous voisi olla juuri nyt kiinnostava digitaalinen teknologia-ala?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Ruokatuotannon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ruokatuotannon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edessä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vaikuttavuudesta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tietolähteenä ja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2"/>
          <w:ilvl w:val="0"/>
        </w:numPr>
      </w:pPr>
      <w:r>
        <w:t xml:space="preserve">Tuotantoprosessien parannuksia</w:t>
      </w:r>
    </w:p>
    <w:p>
      <w:pPr>
        <w:pStyle w:val="Compact"/>
        <w:numPr>
          <w:numId w:val="1022"/>
          <w:ilvl w:val="0"/>
        </w:numPr>
      </w:pPr>
      <w:r>
        <w:t xml:space="preserve">Investointien keräämistä</w:t>
      </w:r>
    </w:p>
    <w:p>
      <w:pPr>
        <w:pStyle w:val="Compact"/>
        <w:numPr>
          <w:numId w:val="1022"/>
          <w:ilvl w:val="0"/>
        </w:numPr>
      </w:pPr>
      <w:r>
        <w:t xml:space="preserve">Markkinoiden toiminnan tehostamista</w:t>
      </w:r>
    </w:p>
    <w:p>
      <w:pPr>
        <w:pStyle w:val="Compact"/>
        <w:numPr>
          <w:numId w:val="1022"/>
          <w:ilvl w:val="0"/>
        </w:numPr>
      </w:pPr>
      <w:r>
        <w:t xml:space="preserve">Arvoketjun toimijoiden yhteyksien parantannuksia</w:t>
      </w:r>
    </w:p>
    <w:p>
      <w:pPr>
        <w:pStyle w:val="Compact"/>
        <w:numPr>
          <w:numId w:val="1022"/>
          <w:ilvl w:val="0"/>
        </w:numPr>
      </w:pPr>
      <w:r>
        <w:t xml:space="preserve">Tiedonjakoverkostojen toiminnan mahdollistamista</w:t>
      </w:r>
    </w:p>
    <w:p>
      <w:pPr>
        <w:pStyle w:val="Compact"/>
        <w:numPr>
          <w:numId w:val="1022"/>
          <w:ilvl w:val="0"/>
        </w:numPr>
      </w:pPr>
      <w:r>
        <w:t xml:space="preserve">Arvoa lisääviä palveluita</w:t>
      </w:r>
    </w:p>
    <w:p>
      <w:pPr>
        <w:pStyle w:val="Compact"/>
        <w:numPr>
          <w:numId w:val="1022"/>
          <w:ilvl w:val="0"/>
        </w:numPr>
      </w:pPr>
      <w:r>
        <w:t xml:space="preserve">Riskien vähentämistä</w:t>
      </w:r>
    </w:p>
    <w:p>
      <w:pPr>
        <w:pStyle w:val="Compact"/>
        <w:numPr>
          <w:numId w:val="102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käydään ensin lyhyesti läpi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3"/>
          <w:ilvl w:val="0"/>
        </w:numPr>
      </w:pPr>
      <w:r>
        <w:rPr>
          <w:b/>
        </w:rPr>
        <w:t xml:space="preserve">Avoimuus</w:t>
      </w:r>
      <w:r>
        <w:t xml:space="preserve">, jonka avulla kolmannet osapuolet voivat kehittää rajapintoihin perustuvia uusia palveluita</w:t>
      </w:r>
    </w:p>
    <w:p>
      <w:pPr>
        <w:pStyle w:val="Compact"/>
        <w:numPr>
          <w:numId w:val="102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3"/>
          <w:ilvl w:val="0"/>
        </w:numPr>
      </w:pPr>
      <w:r>
        <w:rPr>
          <w:b/>
        </w:rPr>
        <w:t xml:space="preserve">Kompleksisuus</w:t>
      </w:r>
      <w:r>
        <w:t xml:space="preserve">, jolla materiaalien, energian ja tiedon virtaukset muodostavat yhteiskäyttöisiä verkostoja</w:t>
      </w:r>
    </w:p>
    <w:p>
      <w:pPr>
        <w:pStyle w:val="Compact"/>
        <w:numPr>
          <w:numId w:val="102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3"/>
          <w:ilvl w:val="0"/>
        </w:numPr>
      </w:pPr>
      <w:r>
        <w:rPr>
          <w:b/>
        </w:rPr>
        <w:t xml:space="preserve">Yhteentoimivuus</w:t>
      </w:r>
      <w:r>
        <w:t xml:space="preserve">, joka IoT-ratkaisuissa mahdollistaa yhteistoiminnan suurelle määrälle heterogeenisiä laitteita ja teknologioita</w:t>
      </w:r>
    </w:p>
    <w:p>
      <w:pPr>
        <w:pStyle w:val="Compact"/>
        <w:numPr>
          <w:numId w:val="102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4"/>
          <w:ilvl w:val="0"/>
        </w:numPr>
      </w:pPr>
      <w:r>
        <w:t xml:space="preserve">Objektien älykkyyden mahdollistavien teknologioiden kypsyminen ja niiden käyttöönoton vaatimien investointien pienentyminen</w:t>
      </w:r>
    </w:p>
    <w:p>
      <w:pPr>
        <w:pStyle w:val="Compact"/>
        <w:numPr>
          <w:numId w:val="1024"/>
          <w:ilvl w:val="0"/>
        </w:numPr>
      </w:pPr>
      <w:r>
        <w:t xml:space="preserve">IIoT-sovelluksien vaatimat nopeat tietoliikenneyhdeydet ovat laajentuneet kattamaan suurimman osaan teollista maailmaa</w:t>
      </w:r>
    </w:p>
    <w:p>
      <w:pPr>
        <w:pStyle w:val="Compact"/>
        <w:numPr>
          <w:numId w:val="1024"/>
          <w:ilvl w:val="0"/>
        </w:numPr>
      </w:pPr>
      <w:r>
        <w:t xml:space="preserve">Globaalit prosessien ja liiketoiminnan hallinnan ratkaisut ovat mahdollistuneet internetin sekä edullisten ja tehokkaiden pilvipalveluiden avulla</w:t>
      </w:r>
    </w:p>
    <w:p>
      <w:pPr>
        <w:pStyle w:val="Compact"/>
        <w:numPr>
          <w:numId w:val="102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lähtökohtana ja lähdeviitteiden kokoelmana lukijan omalle tiedonhaulle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2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8"/>
          <w:ilvl w:val="0"/>
        </w:numPr>
      </w:pPr>
      <w:r>
        <w:t xml:space="preserve">Haastattelulla voidaan hankkia tietoa vähän kartoitetusta alueesta, jolloin tutkijan on vaikea ennakoida vastausten suuntia</w:t>
      </w:r>
    </w:p>
    <w:p>
      <w:pPr>
        <w:pStyle w:val="Compact"/>
        <w:numPr>
          <w:numId w:val="1028"/>
          <w:ilvl w:val="0"/>
        </w:numPr>
      </w:pPr>
      <w:r>
        <w:t xml:space="preserve">Haastatteluissa voidaan saada monitahoisesti ja moniin suuntiin viittaavia vastauksia</w:t>
      </w:r>
    </w:p>
    <w:p>
      <w:pPr>
        <w:pStyle w:val="Compact"/>
        <w:numPr>
          <w:numId w:val="1028"/>
          <w:ilvl w:val="0"/>
        </w:numPr>
      </w:pPr>
      <w:r>
        <w:t xml:space="preserve">Haastatteluissa saaduille vastauksille voidaan pyytää selvennöksiä;</w:t>
      </w:r>
    </w:p>
    <w:p>
      <w:pPr>
        <w:pStyle w:val="Compact"/>
        <w:numPr>
          <w:numId w:val="102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29"/>
          <w:ilvl w:val="0"/>
        </w:numPr>
      </w:pPr>
      <w:r>
        <w:t xml:space="preserve">Haastattelun tekemisen vaatima taito</w:t>
      </w:r>
    </w:p>
    <w:p>
      <w:pPr>
        <w:pStyle w:val="Compact"/>
        <w:numPr>
          <w:numId w:val="1029"/>
          <w:ilvl w:val="0"/>
        </w:numPr>
      </w:pPr>
      <w:r>
        <w:t xml:space="preserve">Haastattelujen vaatima aika ja kustannukset</w:t>
      </w:r>
    </w:p>
    <w:p>
      <w:pPr>
        <w:pStyle w:val="Compact"/>
        <w:numPr>
          <w:numId w:val="1029"/>
          <w:ilvl w:val="0"/>
        </w:numPr>
      </w:pPr>
      <w:r>
        <w:t xml:space="preserve">Haastatteluissa tehtävien virheiden mahdollisuus sekä</w:t>
      </w:r>
    </w:p>
    <w:p>
      <w:pPr>
        <w:pStyle w:val="Compact"/>
        <w:numPr>
          <w:numId w:val="102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__</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0"/>
          <w:ilvl w:val="0"/>
        </w:numPr>
      </w:pPr>
      <w:r>
        <w:t xml:space="preserve">Passport Global Market (http://go.euromonitor.com/passport),</w:t>
      </w:r>
    </w:p>
    <w:p>
      <w:pPr>
        <w:pStyle w:val="Compact"/>
        <w:numPr>
          <w:numId w:val="1030"/>
          <w:ilvl w:val="0"/>
        </w:numPr>
      </w:pPr>
      <w:r>
        <w:t xml:space="preserve">Doria (http://www.doria.fi),</w:t>
      </w:r>
    </w:p>
    <w:p>
      <w:pPr>
        <w:pStyle w:val="Compact"/>
        <w:numPr>
          <w:numId w:val="1030"/>
          <w:ilvl w:val="0"/>
        </w:numPr>
      </w:pPr>
      <w:r>
        <w:t xml:space="preserve">Elsevier ScienceDirect Freedom Collection (https://www.elsevier.com/solutions/sciencedirect),</w:t>
      </w:r>
    </w:p>
    <w:p>
      <w:pPr>
        <w:pStyle w:val="Compact"/>
        <w:numPr>
          <w:numId w:val="1030"/>
          <w:ilvl w:val="0"/>
        </w:numPr>
      </w:pPr>
      <w:r>
        <w:t xml:space="preserve">EBSCO Academic Search Elite (https://www.ebsco.com/products/research-databases/academic-search-elite),</w:t>
      </w:r>
    </w:p>
    <w:p>
      <w:pPr>
        <w:pStyle w:val="Compact"/>
        <w:numPr>
          <w:numId w:val="1030"/>
          <w:ilvl w:val="0"/>
        </w:numPr>
      </w:pPr>
      <w:r>
        <w:t xml:space="preserve">Sage Premier SAGE Journals Online (https://uk.sagepub.com/en-gb/eur/sage-premier),</w:t>
      </w:r>
    </w:p>
    <w:p>
      <w:pPr>
        <w:pStyle w:val="Compact"/>
        <w:numPr>
          <w:numId w:val="103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1"/>
          <w:ilvl w:val="0"/>
        </w:numPr>
      </w:pPr>
      <w:r>
        <w:t xml:space="preserve">Aaltodoc (https://aaltodoc.aalto.fi)</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ACM Digital Library</w:t>
      </w:r>
    </w:p>
    <w:p>
      <w:pPr>
        <w:pStyle w:val="Compact"/>
        <w:numPr>
          <w:numId w:val="1031"/>
          <w:ilvl w:val="0"/>
        </w:numPr>
      </w:pPr>
      <w:r>
        <w:t xml:space="preserve">ProQuest Business Premium</w:t>
      </w:r>
    </w:p>
    <w:p>
      <w:pPr>
        <w:pStyle w:val="Compact"/>
        <w:numPr>
          <w:numId w:val="1031"/>
          <w:ilvl w:val="0"/>
        </w:numPr>
      </w:pPr>
      <w:r>
        <w:t xml:space="preserve">Dart</w:t>
      </w:r>
    </w:p>
    <w:p>
      <w:pPr>
        <w:pStyle w:val="Compact"/>
        <w:numPr>
          <w:numId w:val="1031"/>
          <w:ilvl w:val="0"/>
        </w:numPr>
      </w:pPr>
      <w:r>
        <w:t xml:space="preserve">Passport Global Market (http://go.euromonitor.com/passport)</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Theseus (http://www.theseus.fi)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(ks. alaluku __</w:t>
      </w:r>
      <w:r>
        <w:t xml:space="preserve"> </w:t>
      </w:r>
      <w:r>
        <w:t xml:space="preserve">“</w:t>
      </w:r>
      <w:r>
        <w:t xml:space="preserve">Kuvailevan kirjallisuuskatsauksen toteutus</w:t>
      </w:r>
      <w:r>
        <w:t xml:space="preserve">”</w:t>
      </w:r>
      <w:r>
        <w:t xml:space="preserve">).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2"/>
          <w:ilvl w:val="0"/>
        </w:numPr>
      </w:pPr>
      <w:r>
        <w:t xml:space="preserve">IoT-ratkaisuiden integraation varmistaminen avoimien arkkitehtuurien, alustojen ja standardien avulla</w:t>
      </w:r>
    </w:p>
    <w:p>
      <w:pPr>
        <w:pStyle w:val="Compact"/>
        <w:numPr>
          <w:numId w:val="103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sovelluksien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ruoantuotanto.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ruoantuotannon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Ruoantuotannon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7">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8">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8">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1">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2">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3">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4">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2">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4">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5">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6">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7">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9">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0">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1">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2">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3">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4">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5">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6">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7">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8">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9">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c8d1d78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f72039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4f4b914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763eccb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2018-11-15T15:25:58Z</dcterms:created>
  <dcterms:modified xsi:type="dcterms:W3CDTF">2018-11-15T15:25:58Z</dcterms:modified>
</cp:coreProperties>
</file>